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0"/>
        <w:jc w:val="center"/>
        <w:rPr>
          <w:rFonts w:hint="eastAsia" w:ascii="楷体" w:hAnsi="楷体" w:eastAsia="楷体"/>
          <w:sz w:val="36"/>
        </w:rPr>
      </w:pPr>
      <w:r>
        <w:rPr>
          <w:rFonts w:hint="eastAsia" w:ascii="楷体" w:hAnsi="楷体" w:eastAsia="楷体"/>
          <w:b/>
          <w:color w:val="000000"/>
          <w:sz w:val="32"/>
        </w:rPr>
        <w:t>202</w:t>
      </w:r>
      <w:r>
        <w:rPr>
          <w:rFonts w:hint="default" w:ascii="楷体" w:hAnsi="楷体" w:eastAsia="楷体"/>
          <w:b/>
          <w:color w:val="000000"/>
          <w:sz w:val="32"/>
          <w:lang w:val="en-US"/>
        </w:rPr>
        <w:t>3</w:t>
      </w:r>
      <w:r>
        <w:rPr>
          <w:rFonts w:hint="eastAsia" w:ascii="楷体" w:hAnsi="楷体" w:eastAsia="楷体"/>
          <w:b/>
          <w:color w:val="000000"/>
          <w:sz w:val="32"/>
        </w:rPr>
        <w:t>年硕士研究生招生专业考试大纲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专业代码及专业名称：045104、学科教学（数学）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复试科目名称：中学数学专业知识与能力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考试大纲：</w:t>
      </w:r>
    </w:p>
    <w:p>
      <w:pPr>
        <w:spacing w:afterLines="10"/>
        <w:ind w:left="0"/>
        <w:outlineLvl w:val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一、考查目标（复习要求）</w:t>
      </w:r>
    </w:p>
    <w:p>
      <w:pPr>
        <w:spacing w:afterLines="10"/>
        <w:ind w:left="0" w:firstLine="640" w:firstLineChars="20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考试内容包括：中学数学知识与能力，竞赛数学知识与能力。考查目标：中学数学及竞赛数学的基础知识与解题能力。</w:t>
      </w:r>
    </w:p>
    <w:p>
      <w:pPr>
        <w:spacing w:afterLines="10"/>
        <w:ind w:left="0"/>
        <w:outlineLvl w:val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二、考查范围或考试内容概要</w:t>
      </w:r>
    </w:p>
    <w:p>
      <w:pPr>
        <w:spacing w:afterLines="10"/>
        <w:ind w:left="0" w:firstLine="640" w:firstLineChars="20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第一部分：中学数学解题能力</w:t>
      </w:r>
    </w:p>
    <w:p>
      <w:pPr>
        <w:numPr>
          <w:ilvl w:val="0"/>
          <w:numId w:val="1"/>
        </w:numPr>
        <w:autoSpaceDE/>
        <w:autoSpaceDN/>
        <w:spacing w:afterLines="10"/>
        <w:ind w:left="0" w:firstLine="640" w:firstLineChars="200"/>
        <w:jc w:val="both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 xml:space="preserve"> 高考数学 </w:t>
      </w:r>
    </w:p>
    <w:p>
      <w:pPr>
        <w:numPr>
          <w:ilvl w:val="0"/>
          <w:numId w:val="1"/>
        </w:numPr>
        <w:autoSpaceDE/>
        <w:autoSpaceDN/>
        <w:spacing w:afterLines="10"/>
        <w:ind w:left="0" w:firstLine="640" w:firstLineChars="200"/>
        <w:jc w:val="both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 xml:space="preserve"> 中考数学 </w:t>
      </w:r>
    </w:p>
    <w:p>
      <w:pPr>
        <w:spacing w:afterLines="10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第二部分：竞赛数学解题能力</w:t>
      </w:r>
    </w:p>
    <w:p>
      <w:pPr>
        <w:spacing w:afterLines="10"/>
        <w:ind w:left="0" w:firstLine="640" w:firstLineChars="20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第1章  高中数学竞赛</w:t>
      </w:r>
    </w:p>
    <w:p>
      <w:pPr>
        <w:spacing w:line="360" w:lineRule="auto"/>
        <w:ind w:left="0" w:firstLine="640" w:firstLineChars="200"/>
        <w:rPr>
          <w:rFonts w:hint="eastAsia"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第2章  初中数学竞赛</w:t>
      </w:r>
    </w:p>
    <w:p>
      <w:pPr>
        <w:spacing w:line="360" w:lineRule="auto"/>
        <w:ind w:left="0"/>
        <w:rPr>
          <w:rFonts w:hint="eastAsia" w:ascii="楷体" w:hAnsi="楷体" w:eastAsia="楷体"/>
          <w:color w:val="000000"/>
          <w:sz w:val="32"/>
          <w:lang w:eastAsia="zh-CN"/>
        </w:rPr>
      </w:pPr>
      <w:r>
        <w:rPr>
          <w:rFonts w:hint="eastAsia" w:ascii="楷体" w:hAnsi="楷体" w:eastAsia="楷体"/>
          <w:color w:val="000000"/>
          <w:sz w:val="32"/>
        </w:rPr>
        <w:t>加试科目名称：</w:t>
      </w:r>
      <w:r>
        <w:rPr>
          <w:rFonts w:hint="eastAsia" w:ascii="楷体" w:hAnsi="楷体" w:eastAsia="楷体"/>
          <w:color w:val="000000"/>
          <w:sz w:val="32"/>
          <w:lang w:val="en-US" w:eastAsia="zh-CN"/>
        </w:rPr>
        <w:t>高等数学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  <w:r>
        <w:rPr>
          <w:rFonts w:ascii="楷体" w:hAnsi="楷体" w:eastAsia="楷体"/>
          <w:color w:val="000000"/>
          <w:sz w:val="32"/>
        </w:rPr>
        <w:t xml:space="preserve"> </w:t>
      </w:r>
    </w:p>
    <w:p>
      <w:pPr>
        <w:spacing w:line="360" w:lineRule="auto"/>
        <w:ind w:left="0" w:firstLine="640" w:firstLineChars="200"/>
        <w:rPr>
          <w:rFonts w:hint="eastAsia" w:ascii="楷体" w:hAnsi="楷体" w:eastAsia="楷体"/>
          <w:color w:val="000000"/>
          <w:sz w:val="32"/>
        </w:rPr>
      </w:pPr>
      <w:r>
        <w:rPr>
          <w:rFonts w:ascii="楷体" w:hAnsi="楷体" w:eastAsia="楷体"/>
          <w:color w:val="000000"/>
          <w:sz w:val="32"/>
        </w:rPr>
        <w:t>参考书目：</w:t>
      </w:r>
      <w:r>
        <w:rPr>
          <w:rFonts w:hint="eastAsia" w:ascii="楷体" w:hAnsi="楷体" w:eastAsia="楷体"/>
          <w:color w:val="000000"/>
          <w:sz w:val="32"/>
        </w:rPr>
        <w:t>《</w:t>
      </w:r>
      <w:r>
        <w:rPr>
          <w:rFonts w:hint="eastAsia" w:ascii="楷体" w:hAnsi="楷体" w:eastAsia="楷体"/>
          <w:color w:val="000000"/>
          <w:sz w:val="32"/>
          <w:lang w:val="en-US" w:eastAsia="zh-CN"/>
        </w:rPr>
        <w:t>高等数学</w:t>
      </w:r>
      <w:r>
        <w:rPr>
          <w:rFonts w:hint="eastAsia" w:ascii="楷体" w:hAnsi="楷体" w:eastAsia="楷体"/>
          <w:color w:val="000000"/>
          <w:sz w:val="32"/>
        </w:rPr>
        <w:t>（第</w:t>
      </w:r>
      <w:r>
        <w:rPr>
          <w:rFonts w:hint="eastAsia" w:ascii="楷体" w:hAnsi="楷体" w:eastAsia="楷体"/>
          <w:color w:val="000000"/>
          <w:sz w:val="32"/>
          <w:lang w:val="en-US" w:eastAsia="zh-CN"/>
        </w:rPr>
        <w:t>七</w:t>
      </w:r>
      <w:r>
        <w:rPr>
          <w:rFonts w:hint="eastAsia" w:ascii="楷体" w:hAnsi="楷体" w:eastAsia="楷体"/>
          <w:color w:val="000000"/>
          <w:sz w:val="32"/>
        </w:rPr>
        <w:t>版）》（上、下册），</w:t>
      </w:r>
      <w:r>
        <w:rPr>
          <w:rFonts w:hint="eastAsia" w:ascii="楷体" w:hAnsi="楷体" w:eastAsia="楷体"/>
          <w:color w:val="000000"/>
          <w:sz w:val="32"/>
          <w:lang w:val="en-US" w:eastAsia="zh-CN"/>
        </w:rPr>
        <w:t>同济</w:t>
      </w:r>
      <w:r>
        <w:rPr>
          <w:rFonts w:hint="eastAsia" w:ascii="楷体" w:hAnsi="楷体" w:eastAsia="楷体"/>
          <w:color w:val="000000"/>
          <w:sz w:val="32"/>
        </w:rPr>
        <w:t>大学数学系编，高等教育出版社</w:t>
      </w:r>
    </w:p>
    <w:p>
      <w:pPr>
        <w:spacing w:line="360" w:lineRule="auto"/>
        <w:ind w:left="0" w:firstLine="640" w:firstLineChars="20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考试大纲：函数与极限、导数与微分、微分中值定理及其应用、不定积分、定积分、定积分的应用、</w:t>
      </w:r>
      <w:r>
        <w:rPr>
          <w:rFonts w:hint="eastAsia" w:ascii="楷体" w:hAnsi="楷体" w:eastAsia="楷体"/>
          <w:color w:val="000000"/>
          <w:sz w:val="32"/>
          <w:lang w:val="en-US" w:eastAsia="zh-CN"/>
        </w:rPr>
        <w:t>微分方程</w:t>
      </w:r>
      <w:r>
        <w:rPr>
          <w:rFonts w:hint="eastAsia" w:ascii="楷体" w:hAnsi="楷体" w:eastAsia="楷体"/>
          <w:color w:val="000000"/>
          <w:sz w:val="32"/>
        </w:rPr>
        <w:t>、向量代数与空间解析几何、多元函数微分法及其应用、重积分、曲线积分与曲面积分</w:t>
      </w:r>
      <w:r>
        <w:rPr>
          <w:rFonts w:hint="eastAsia" w:ascii="楷体" w:hAnsi="楷体" w:eastAsia="楷体"/>
          <w:color w:val="000000"/>
          <w:sz w:val="32"/>
          <w:lang w:eastAsia="zh-CN"/>
        </w:rPr>
        <w:t>、</w:t>
      </w:r>
      <w:r>
        <w:rPr>
          <w:rFonts w:hint="default" w:ascii="楷体" w:hAnsi="楷体" w:eastAsia="楷体"/>
          <w:color w:val="000000"/>
          <w:sz w:val="32"/>
        </w:rPr>
        <w:t>无穷级数</w:t>
      </w:r>
      <w:r>
        <w:rPr>
          <w:rFonts w:hint="eastAsia" w:ascii="楷体" w:hAnsi="楷体" w:eastAsia="楷体"/>
          <w:color w:val="000000"/>
          <w:sz w:val="32"/>
        </w:rPr>
        <w:t>。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加试科目名称：</w:t>
      </w:r>
      <w:r>
        <w:rPr>
          <w:rFonts w:hint="eastAsia" w:ascii="楷体" w:hAnsi="楷体" w:eastAsia="楷体"/>
          <w:color w:val="000000"/>
          <w:sz w:val="32"/>
          <w:lang w:val="en-US" w:eastAsia="zh-CN"/>
        </w:rPr>
        <w:t>线性</w:t>
      </w:r>
      <w:r>
        <w:rPr>
          <w:rFonts w:hint="eastAsia" w:ascii="楷体" w:hAnsi="楷体" w:eastAsia="楷体"/>
          <w:color w:val="000000"/>
          <w:sz w:val="32"/>
        </w:rPr>
        <w:t>代数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</w:p>
    <w:p>
      <w:pPr>
        <w:spacing w:line="360" w:lineRule="auto"/>
        <w:ind w:left="0" w:firstLine="640" w:firstLineChars="200"/>
        <w:rPr>
          <w:rFonts w:hint="eastAsia" w:ascii="楷体" w:hAnsi="楷体" w:eastAsia="楷体"/>
          <w:color w:val="000000"/>
          <w:sz w:val="32"/>
        </w:rPr>
      </w:pPr>
      <w:r>
        <w:rPr>
          <w:rFonts w:ascii="楷体" w:hAnsi="楷体" w:eastAsia="楷体"/>
          <w:color w:val="000000"/>
          <w:sz w:val="32"/>
        </w:rPr>
        <w:t>参考书目：《</w:t>
      </w:r>
      <w:r>
        <w:rPr>
          <w:rFonts w:hint="eastAsia" w:ascii="楷体" w:hAnsi="楷体" w:eastAsia="楷体"/>
          <w:color w:val="000000"/>
          <w:sz w:val="32"/>
          <w:lang w:val="en-US" w:eastAsia="zh-CN"/>
        </w:rPr>
        <w:t>线性</w:t>
      </w:r>
      <w:r>
        <w:rPr>
          <w:rFonts w:ascii="楷体" w:hAnsi="楷体" w:eastAsia="楷体"/>
          <w:color w:val="000000"/>
          <w:sz w:val="32"/>
        </w:rPr>
        <w:t>代数（第</w:t>
      </w:r>
      <w:r>
        <w:rPr>
          <w:rFonts w:hint="eastAsia" w:ascii="楷体" w:hAnsi="楷体" w:eastAsia="楷体"/>
          <w:color w:val="000000"/>
          <w:sz w:val="32"/>
          <w:lang w:val="en-US" w:eastAsia="zh-CN"/>
        </w:rPr>
        <w:t>六</w:t>
      </w:r>
      <w:r>
        <w:rPr>
          <w:rFonts w:ascii="楷体" w:hAnsi="楷体" w:eastAsia="楷体"/>
          <w:color w:val="000000"/>
          <w:sz w:val="32"/>
        </w:rPr>
        <w:t>版）》，</w:t>
      </w:r>
      <w:r>
        <w:rPr>
          <w:rFonts w:hint="eastAsia" w:ascii="楷体" w:hAnsi="楷体" w:eastAsia="楷体"/>
          <w:color w:val="000000"/>
          <w:sz w:val="32"/>
          <w:lang w:val="en-US" w:eastAsia="zh-CN"/>
        </w:rPr>
        <w:t>同济</w:t>
      </w:r>
      <w:r>
        <w:rPr>
          <w:rFonts w:hint="eastAsia" w:ascii="楷体" w:hAnsi="楷体" w:eastAsia="楷体"/>
          <w:color w:val="000000"/>
          <w:sz w:val="32"/>
        </w:rPr>
        <w:t>大学数学系编，高等教育出版社</w:t>
      </w:r>
    </w:p>
    <w:p>
      <w:pPr>
        <w:spacing w:line="360" w:lineRule="auto"/>
        <w:ind w:left="0" w:firstLine="640" w:firstLineChars="200"/>
        <w:rPr>
          <w:rFonts w:hint="eastAsia"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考试大纲：行列式</w:t>
      </w:r>
      <w:r>
        <w:rPr>
          <w:rFonts w:hint="eastAsia" w:ascii="楷体" w:hAnsi="楷体" w:eastAsia="楷体"/>
          <w:color w:val="000000"/>
          <w:sz w:val="32"/>
          <w:lang w:eastAsia="zh-CN"/>
        </w:rPr>
        <w:t>、</w:t>
      </w:r>
      <w:r>
        <w:rPr>
          <w:rFonts w:hint="eastAsia" w:ascii="楷体" w:hAnsi="楷体" w:eastAsia="楷体"/>
          <w:color w:val="000000"/>
          <w:sz w:val="32"/>
        </w:rPr>
        <w:t>矩阵及其运算</w:t>
      </w:r>
      <w:r>
        <w:rPr>
          <w:rFonts w:hint="eastAsia" w:ascii="楷体" w:hAnsi="楷体" w:eastAsia="楷体"/>
          <w:color w:val="000000"/>
          <w:sz w:val="32"/>
          <w:lang w:eastAsia="zh-CN"/>
        </w:rPr>
        <w:t>、</w:t>
      </w:r>
      <w:r>
        <w:rPr>
          <w:rFonts w:hint="eastAsia" w:ascii="楷体" w:hAnsi="楷体" w:eastAsia="楷体"/>
          <w:color w:val="000000"/>
          <w:sz w:val="32"/>
        </w:rPr>
        <w:t>矩阵的初等变换与线性方程组</w:t>
      </w:r>
      <w:r>
        <w:rPr>
          <w:rFonts w:hint="eastAsia" w:ascii="楷体" w:hAnsi="楷体" w:eastAsia="楷体"/>
          <w:color w:val="000000"/>
          <w:sz w:val="32"/>
          <w:lang w:eastAsia="zh-CN"/>
        </w:rPr>
        <w:t>、</w:t>
      </w:r>
      <w:r>
        <w:rPr>
          <w:rFonts w:hint="eastAsia" w:ascii="楷体" w:hAnsi="楷体" w:eastAsia="楷体"/>
          <w:color w:val="000000"/>
          <w:sz w:val="32"/>
        </w:rPr>
        <w:t>向量组的线性相关性</w:t>
      </w:r>
      <w:r>
        <w:rPr>
          <w:rFonts w:hint="eastAsia" w:ascii="楷体" w:hAnsi="楷体" w:eastAsia="楷体"/>
          <w:color w:val="000000"/>
          <w:sz w:val="32"/>
          <w:lang w:eastAsia="zh-CN"/>
        </w:rPr>
        <w:t>、</w:t>
      </w:r>
      <w:r>
        <w:rPr>
          <w:rFonts w:hint="eastAsia" w:ascii="楷体" w:hAnsi="楷体" w:eastAsia="楷体"/>
          <w:color w:val="000000"/>
          <w:sz w:val="32"/>
        </w:rPr>
        <w:t>向量组的线性相关性</w:t>
      </w:r>
      <w:r>
        <w:rPr>
          <w:rFonts w:hint="eastAsia" w:ascii="楷体" w:hAnsi="楷体" w:eastAsia="楷体"/>
          <w:color w:val="000000"/>
          <w:sz w:val="32"/>
          <w:lang w:eastAsia="zh-CN"/>
        </w:rPr>
        <w:t>、</w:t>
      </w:r>
      <w:r>
        <w:rPr>
          <w:rFonts w:hint="eastAsia" w:ascii="楷体" w:hAnsi="楷体" w:eastAsia="楷体"/>
          <w:color w:val="000000"/>
          <w:sz w:val="32"/>
        </w:rPr>
        <w:t>线性空间与线性变换。</w:t>
      </w:r>
    </w:p>
    <w:p>
      <w:pPr>
        <w:spacing w:line="360" w:lineRule="auto"/>
        <w:ind w:left="0" w:leftChars="0" w:firstLine="0" w:firstLineChars="0"/>
        <w:rPr>
          <w:rFonts w:hint="eastAsia" w:ascii="楷体" w:hAnsi="楷体" w:eastAsia="楷体"/>
          <w:color w:val="000000"/>
          <w:sz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space"/>
      <w:lvlText w:val="第%1章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0NGJmYTdhYjVjMDg1OTVhYTE3ODQzNWZhOTk1MzgifQ=="/>
  </w:docVars>
  <w:rsids>
    <w:rsidRoot w:val="00000000"/>
    <w:rsid w:val="03B7227C"/>
    <w:rsid w:val="07F617FF"/>
    <w:rsid w:val="1DB418AE"/>
    <w:rsid w:val="251755CB"/>
    <w:rsid w:val="44EF504E"/>
    <w:rsid w:val="669B6E43"/>
    <w:rsid w:val="756B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ind w:left="5632"/>
    </w:pPr>
    <w:rPr>
      <w:rFonts w:ascii="宋体" w:hAnsi="宋体" w:eastAsia="Times New Roman" w:cs="Times New Roman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uiPriority w:val="0"/>
    <w:rPr>
      <w:rFonts w:ascii="宋体" w:hAnsi="宋体" w:eastAsia="Times New Roman"/>
      <w:sz w:val="18"/>
      <w:szCs w:val="18"/>
    </w:rPr>
  </w:style>
  <w:style w:type="character" w:customStyle="1" w:styleId="7">
    <w:name w:val="页脚 Char"/>
    <w:link w:val="2"/>
    <w:uiPriority w:val="0"/>
    <w:rPr>
      <w:rFonts w:ascii="宋体" w:hAnsi="宋体" w:eastAsia="Times New Roman"/>
      <w:sz w:val="18"/>
      <w:szCs w:val="18"/>
    </w:rPr>
  </w:style>
  <w:style w:type="paragraph" w:styleId="8">
    <w:name w:val="List Paragraph"/>
    <w:basedOn w:val="1"/>
    <w:qFormat/>
    <w:uiPriority w:val="0"/>
    <w:pPr>
      <w:autoSpaceDE/>
      <w:autoSpaceDN/>
      <w:ind w:left="0" w:firstLine="420" w:firstLineChars="200"/>
      <w:jc w:val="both"/>
    </w:pPr>
    <w:rPr>
      <w:rFonts w:ascii="Times New Roman" w:hAnsi="Times New Roman" w:eastAsia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5D743-9D4C-4776-8860-5AB6ECBBAA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839</Words>
  <Characters>870</Characters>
  <Paragraphs>82</Paragraphs>
  <TotalTime>2</TotalTime>
  <ScaleCrop>false</ScaleCrop>
  <LinksUpToDate>false</LinksUpToDate>
  <CharactersWithSpaces>881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2021-09-13T09:23:00Z</dcterms:created>
  <dc:creator>Administrator</dc:creator>
  <cp:lastModifiedBy>Administrator</cp:lastModifiedBy>
  <dcterms:modified xsi:type="dcterms:W3CDTF">2022-09-13T01:07:43Z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C476DB1FD3974E55B7233EBC7DA129B8</vt:lpwstr>
  </property>
</Properties>
</file>