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A000D" w14:textId="77777777" w:rsidR="0042708A" w:rsidRDefault="0042708A">
      <w:pPr>
        <w:widowControl/>
        <w:autoSpaceDE/>
        <w:autoSpaceDN/>
        <w:snapToGrid w:val="0"/>
        <w:spacing w:line="450" w:lineRule="atLeast"/>
        <w:ind w:left="0"/>
        <w:jc w:val="both"/>
        <w:rPr>
          <w:rFonts w:ascii="仿宋_GB2312" w:eastAsia="仿宋_GB2312" w:hAnsi="Times New Roman"/>
          <w:sz w:val="28"/>
        </w:rPr>
      </w:pPr>
    </w:p>
    <w:p w14:paraId="5A50A1B4" w14:textId="77777777" w:rsidR="0042708A" w:rsidRDefault="00000000">
      <w:pPr>
        <w:spacing w:line="360" w:lineRule="auto"/>
        <w:ind w:left="0"/>
        <w:jc w:val="center"/>
        <w:rPr>
          <w:rFonts w:ascii="楷体" w:eastAsia="楷体" w:hAnsi="楷体" w:hint="eastAsia"/>
          <w:b/>
          <w:color w:val="000000"/>
          <w:sz w:val="32"/>
        </w:rPr>
      </w:pPr>
      <w:r>
        <w:rPr>
          <w:rFonts w:ascii="楷体" w:eastAsia="楷体" w:hAnsi="楷体" w:hint="eastAsia"/>
          <w:b/>
          <w:color w:val="000000"/>
          <w:sz w:val="32"/>
        </w:rPr>
        <w:t>2025年硕士研究生招生专业考试大纲</w:t>
      </w:r>
    </w:p>
    <w:p w14:paraId="62584BF5" w14:textId="77777777" w:rsidR="0042708A" w:rsidRDefault="0042708A">
      <w:pPr>
        <w:spacing w:line="360" w:lineRule="auto"/>
        <w:ind w:left="0"/>
        <w:jc w:val="center"/>
        <w:rPr>
          <w:rFonts w:ascii="楷体" w:eastAsia="楷体" w:hAnsi="楷体" w:hint="eastAsia"/>
          <w:b/>
          <w:color w:val="000000"/>
          <w:sz w:val="32"/>
        </w:rPr>
      </w:pPr>
    </w:p>
    <w:p w14:paraId="7066E079" w14:textId="77777777" w:rsidR="0042708A" w:rsidRDefault="00000000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学院代码：002</w:t>
      </w:r>
    </w:p>
    <w:p w14:paraId="35BE866E" w14:textId="77777777" w:rsidR="0042708A" w:rsidRDefault="00000000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学院名称：教育学部</w:t>
      </w:r>
    </w:p>
    <w:p w14:paraId="69380931" w14:textId="77777777" w:rsidR="0042708A" w:rsidRDefault="00000000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专业代码及专业名称：040107 成人教育学</w:t>
      </w:r>
    </w:p>
    <w:p w14:paraId="25C597D6" w14:textId="77777777" w:rsidR="0042708A" w:rsidRDefault="00000000">
      <w:pPr>
        <w:adjustRightInd w:val="0"/>
        <w:spacing w:line="360" w:lineRule="auto"/>
        <w:ind w:left="0"/>
        <w:textAlignment w:val="baseline"/>
        <w:rPr>
          <w:rFonts w:ascii="楷体" w:eastAsia="楷体" w:hAnsi="楷体" w:hint="eastAsia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</w:rPr>
        <w:t>初试科目代码及名称：</w:t>
      </w:r>
      <w:r>
        <w:rPr>
          <w:rFonts w:ascii="楷体" w:eastAsia="楷体" w:hAnsi="楷体" w:hint="eastAsia"/>
          <w:color w:val="000000"/>
          <w:sz w:val="32"/>
          <w:szCs w:val="32"/>
        </w:rPr>
        <w:t>101思想政治理论；201英语一；</w:t>
      </w:r>
      <w:r>
        <w:rPr>
          <w:rFonts w:ascii="楷体" w:eastAsia="楷体" w:hAnsi="楷体" w:hint="eastAsia"/>
          <w:sz w:val="32"/>
        </w:rPr>
        <w:t>教育学基础综合(630)</w:t>
      </w:r>
    </w:p>
    <w:p w14:paraId="285EA9F6" w14:textId="77777777" w:rsidR="0042708A" w:rsidRDefault="00000000">
      <w:pPr>
        <w:adjustRightInd w:val="0"/>
        <w:spacing w:line="360" w:lineRule="auto"/>
        <w:ind w:left="0"/>
        <w:textAlignment w:val="baseline"/>
        <w:rPr>
          <w:rFonts w:ascii="楷体" w:eastAsia="楷体" w:hAnsi="楷体" w:hint="eastAsia"/>
          <w:color w:val="00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初试参考书目及考试大纲：</w:t>
      </w:r>
      <w:r>
        <w:rPr>
          <w:rFonts w:ascii="楷体" w:eastAsia="楷体" w:hAnsi="楷体" w:hint="eastAsia"/>
          <w:color w:val="000000"/>
          <w:sz w:val="32"/>
          <w:szCs w:val="32"/>
        </w:rPr>
        <w:t>参见我校教育学部所提供的大纲</w:t>
      </w:r>
    </w:p>
    <w:p w14:paraId="52AB0534" w14:textId="77777777" w:rsidR="0042708A" w:rsidRDefault="00000000">
      <w:pPr>
        <w:adjustRightInd w:val="0"/>
        <w:spacing w:line="360" w:lineRule="auto"/>
        <w:ind w:left="0"/>
        <w:textAlignment w:val="baseline"/>
        <w:rPr>
          <w:rFonts w:ascii="楷体" w:eastAsia="楷体" w:hAnsi="楷体" w:hint="eastAsia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</w:rPr>
        <w:t>复试科目名称：</w:t>
      </w:r>
      <w:r>
        <w:rPr>
          <w:rFonts w:ascii="楷体" w:eastAsia="楷体" w:hAnsi="楷体" w:hint="eastAsia"/>
          <w:color w:val="000000"/>
          <w:sz w:val="32"/>
          <w:szCs w:val="32"/>
        </w:rPr>
        <w:t>终身学习理论与实践</w:t>
      </w:r>
    </w:p>
    <w:p w14:paraId="05F376A2" w14:textId="77777777" w:rsidR="0042708A" w:rsidRDefault="00000000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参考书目及考试大纲：</w:t>
      </w:r>
    </w:p>
    <w:p w14:paraId="681AD70D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  <w:lang w:bidi="ar"/>
        </w:rPr>
        <w:t>《终身教育-学习蕴藏财富》（西南师大出版社，2014）</w:t>
      </w:r>
    </w:p>
    <w:p w14:paraId="7A2197E0" w14:textId="77777777" w:rsidR="0042708A" w:rsidRDefault="0042708A">
      <w:pPr>
        <w:spacing w:line="360" w:lineRule="auto"/>
        <w:ind w:left="0"/>
        <w:rPr>
          <w:rFonts w:ascii="楷体" w:eastAsia="楷体" w:hAnsi="楷体" w:cs="楷体" w:hint="eastAsia"/>
          <w:bCs/>
          <w:color w:val="000000"/>
          <w:sz w:val="32"/>
          <w:szCs w:val="32"/>
          <w:lang w:bidi="ar"/>
        </w:rPr>
      </w:pPr>
    </w:p>
    <w:p w14:paraId="42EE9191" w14:textId="0CCAA421" w:rsidR="0042708A" w:rsidRPr="008539BA" w:rsidRDefault="00000000" w:rsidP="008539BA">
      <w:pPr>
        <w:spacing w:line="360" w:lineRule="auto"/>
        <w:ind w:left="0"/>
        <w:rPr>
          <w:rFonts w:ascii="楷体" w:eastAsia="楷体" w:hAnsi="楷体" w:cs="楷体" w:hint="eastAsia"/>
          <w:bCs/>
          <w:color w:val="000000"/>
          <w:sz w:val="32"/>
          <w:szCs w:val="32"/>
          <w:lang w:bidi="ar"/>
        </w:rPr>
      </w:pPr>
      <w:r>
        <w:rPr>
          <w:rFonts w:ascii="楷体" w:eastAsia="楷体" w:hAnsi="楷体" w:cs="楷体" w:hint="eastAsia"/>
          <w:bCs/>
          <w:color w:val="000000"/>
          <w:sz w:val="32"/>
          <w:szCs w:val="32"/>
          <w:lang w:bidi="ar"/>
        </w:rPr>
        <w:t>考试大纲：</w:t>
      </w: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 xml:space="preserve"> </w:t>
      </w:r>
    </w:p>
    <w:p w14:paraId="469B9BDB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第一章导论</w:t>
      </w:r>
    </w:p>
    <w:p w14:paraId="7B0E9187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第一节终身教育发展的历史渊源</w:t>
      </w:r>
    </w:p>
    <w:p w14:paraId="6D6DBB18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第二节终身教育概述</w:t>
      </w:r>
    </w:p>
    <w:p w14:paraId="3027D437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第三节终身教育的特征及意义</w:t>
      </w:r>
    </w:p>
    <w:p w14:paraId="440BF5A3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第四节终身教育的国际比较</w:t>
      </w:r>
    </w:p>
    <w:p w14:paraId="108B2FEE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第二章现代教育中的终身教育与传统教育</w:t>
      </w:r>
    </w:p>
    <w:p w14:paraId="777A2F5C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第一节传统教育概述</w:t>
      </w:r>
    </w:p>
    <w:p w14:paraId="6C047D3E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第二节传统教育的局限性</w:t>
      </w:r>
    </w:p>
    <w:p w14:paraId="36CD1756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第三节终身教育与传统教育的关系</w:t>
      </w:r>
    </w:p>
    <w:p w14:paraId="4E91C17D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第四节终身教育对传统教育的冲击和超越</w:t>
      </w:r>
    </w:p>
    <w:p w14:paraId="4E2319F0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第三章 现代社会中终身教育的主要形态</w:t>
      </w:r>
    </w:p>
    <w:p w14:paraId="2FE13396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第一节学校教育</w:t>
      </w:r>
    </w:p>
    <w:p w14:paraId="2CF36F11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第二节家庭教育</w:t>
      </w:r>
    </w:p>
    <w:p w14:paraId="669B54DB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第三节成人教育</w:t>
      </w:r>
    </w:p>
    <w:p w14:paraId="41FA16DF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第四节社区教育</w:t>
      </w:r>
    </w:p>
    <w:p w14:paraId="1AAF27ED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第五节 现代远程教育</w:t>
      </w:r>
    </w:p>
    <w:p w14:paraId="58B1A8ED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第四章 走向终身教育的教学变革</w:t>
      </w:r>
    </w:p>
    <w:p w14:paraId="02D6EF50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第一节教育内涵的拓展</w:t>
      </w:r>
    </w:p>
    <w:p w14:paraId="75402B2E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第二节终身教育学习者和教师的角色变化</w:t>
      </w:r>
    </w:p>
    <w:p w14:paraId="68B90262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lastRenderedPageBreak/>
        <w:t>第三节终身教育内容的变革</w:t>
      </w:r>
    </w:p>
    <w:p w14:paraId="112FA676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第四节终身教育的机构变革</w:t>
      </w:r>
    </w:p>
    <w:p w14:paraId="014EAFB9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第五章终身教育的政策与立法</w:t>
      </w:r>
    </w:p>
    <w:p w14:paraId="35BB1DFE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第一节终身教育政策与立法</w:t>
      </w:r>
    </w:p>
    <w:p w14:paraId="55D4CC38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第二节终身教育立法与我国终身教育的发展</w:t>
      </w:r>
    </w:p>
    <w:p w14:paraId="7F8A5696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第三节我国终身教育立法的实践及其分析</w:t>
      </w:r>
    </w:p>
    <w:p w14:paraId="397285C9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第六章终身教育体系的分析与构建</w:t>
      </w:r>
    </w:p>
    <w:p w14:paraId="1CE5F28C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第一节构建终身教育体系的意义</w:t>
      </w:r>
    </w:p>
    <w:p w14:paraId="37986C81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第二节终身教育体系的结构</w:t>
      </w:r>
    </w:p>
    <w:p w14:paraId="215344A2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第三节 我国构建终身教育体系的调整</w:t>
      </w:r>
    </w:p>
    <w:p w14:paraId="1FB0AF2D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第七章终身教育的实践运作与问题研究</w:t>
      </w:r>
    </w:p>
    <w:p w14:paraId="35AF10E4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第一节终身教育运作的理论探讨</w:t>
      </w:r>
    </w:p>
    <w:p w14:paraId="3923008F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第二节终身教育运作所面临的问题</w:t>
      </w:r>
    </w:p>
    <w:p w14:paraId="5EB758E8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第三节走向终身教育的策略研究</w:t>
      </w:r>
    </w:p>
    <w:p w14:paraId="18EA8C5E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第八章终身教育与学习型社会</w:t>
      </w:r>
    </w:p>
    <w:p w14:paraId="03176284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第一节 学习型社会的概述</w:t>
      </w:r>
    </w:p>
    <w:p w14:paraId="639FABD7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第二节学习型社会的组织形态</w:t>
      </w:r>
    </w:p>
    <w:p w14:paraId="723F120C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第三节终身教育与学习型社会的构建</w:t>
      </w:r>
    </w:p>
    <w:p w14:paraId="44548641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第九章终身教育展望</w:t>
      </w:r>
    </w:p>
    <w:p w14:paraId="19BC7E32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第一节终身教育的发展趋势</w:t>
      </w:r>
    </w:p>
    <w:p w14:paraId="3D089338" w14:textId="77777777" w:rsidR="0042708A" w:rsidRDefault="00000000">
      <w:pPr>
        <w:widowControl/>
        <w:shd w:val="clear" w:color="auto" w:fill="FFFFFF"/>
        <w:autoSpaceDE/>
        <w:autoSpaceDN/>
        <w:ind w:left="0"/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color w:val="111111"/>
          <w:sz w:val="24"/>
          <w:szCs w:val="24"/>
          <w:shd w:val="clear" w:color="auto" w:fill="FFFFFF"/>
          <w:lang w:bidi="ar"/>
        </w:rPr>
        <w:t>第二节终身教育的展望</w:t>
      </w:r>
    </w:p>
    <w:p w14:paraId="1C9D62B0" w14:textId="77777777" w:rsidR="0042708A" w:rsidRDefault="0042708A">
      <w:pPr>
        <w:spacing w:line="360" w:lineRule="auto"/>
        <w:ind w:left="0"/>
        <w:rPr>
          <w:rFonts w:eastAsia="宋体" w:hint="eastAsia"/>
          <w:b/>
          <w:color w:val="000000"/>
          <w:sz w:val="28"/>
        </w:rPr>
      </w:pPr>
    </w:p>
    <w:p w14:paraId="5CDFC1CB" w14:textId="77777777" w:rsidR="0042708A" w:rsidRDefault="0042708A"/>
    <w:sectPr w:rsidR="0042708A">
      <w:footerReference w:type="default" r:id="rId8"/>
      <w:pgSz w:w="11906" w:h="16838"/>
      <w:pgMar w:top="1247" w:right="1587" w:bottom="1134" w:left="1587" w:header="851" w:footer="1418" w:gutter="0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FA157" w14:textId="77777777" w:rsidR="00FC2092" w:rsidRDefault="00FC2092">
      <w:r>
        <w:separator/>
      </w:r>
    </w:p>
  </w:endnote>
  <w:endnote w:type="continuationSeparator" w:id="0">
    <w:p w14:paraId="184D0CB5" w14:textId="77777777" w:rsidR="00FC2092" w:rsidRDefault="00FC2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432D3" w14:textId="77777777" w:rsidR="0042708A" w:rsidRDefault="00000000">
    <w:pPr>
      <w:tabs>
        <w:tab w:val="center" w:pos="4153"/>
        <w:tab w:val="right" w:pos="8306"/>
      </w:tabs>
      <w:snapToGrid w:val="0"/>
      <w:ind w:left="0" w:right="360" w:firstLine="360"/>
      <w:rPr>
        <w:rFonts w:eastAsia="宋体" w:hAnsi="Times New Roman"/>
        <w:sz w:val="34"/>
      </w:rPr>
    </w:pPr>
    <w:r>
      <w:rPr>
        <w:rFonts w:eastAsia="宋体" w:hAnsi="Times New Roman"/>
        <w:sz w:val="18"/>
      </w:rPr>
      <w:pict w14:anchorId="5807A320">
        <v:rect id="_x0000_s1026" style="position:absolute;left:0;text-align:left;margin-left:190.3pt;margin-top:0;width:56pt;height:18.15pt;z-index:251659264;mso-wrap-style:none;mso-width-relative:page;mso-height-relative:page" o:gfxdata="UEsDBAoAAAAAAIdO4kAAAAAAAAAAAAAAAAAEAAAAZHJzL1BLAwQUAAAACACHTuJAxxyQj9QAAAAH&#10;AQAADwAAAGRycy9kb3ducmV2LnhtbE2PzU7DMBCE70h9B2srcaN2UxSFEKcHpEqAuDTlAdx48yPs&#10;dRS7TXl7lhMcZ2c0+021v3knrjjHMZCG7UaBQGqDHanX8Hk6PBQgYjJkjQuEGr4xwr5e3VWmtGGh&#10;I16b1AsuoVgaDUNKUyllbAf0Jm7ChMReF2ZvEsu5l3Y2C5d7JzOlcunNSPxhMBO+DNh+NRevQZ6a&#10;w1I0blbhPes+3NvrscOg9f16q55BJLylvzD84jM61Mx0DheyUTgNu0LlHNXAi9h+fMpYnvme70DW&#10;lfzPX/8AUEsDBBQAAAAIAIdO4kCCqaC1pwEAADwDAAAOAAAAZHJzL2Uyb0RvYy54bWytUl1qGzEQ&#10;fi/0DkLvtXZdkpTF6xAIKYXSBJIeQNZKXoH+GMne9WkKecshcpyQa2Qkr522eQt50Y5Gs9983zez&#10;OB+tIVsJUXvX0npWUSKd8J1265b+vrv68o2SmLjruPFOtnQnIz1ffv60GEIj5773ppNAEMTFZggt&#10;7VMKDWNR9NLyOPNBOnxUHixPeIU164APiG4Nm1fVKRs8dAG8kDFi9nL/SJcFXykp0rVSUSZiWorc&#10;UjmhnKt8suWCN2vgoddiosHfwcJy7bDpEeqSJ042oN9AWS3AR6/STHjLvFJayKIB1dTVf2puex5k&#10;0YLmxHC0KX4crPi1vQGiO5wdJY5bHNHzn4enx3tSZ2+GEBssuQ03MN0ihlnoqMDmL0ogY/Fzd/RT&#10;jokITJ7VNc6IEoFP86/VSXWSMdnrzwFi+i69JTloKeC4iot8+zOmfemhJPdy/kobg3neGPdPAjFz&#10;hmW+e4Y5SuNqnGivfLdDoQNOuqUOV5ES88OhkXkpDgEcgtUh2ATQ6x6p1YVXDBebhCQKt9xhDzs1&#10;xhEVddM65R34+16qXpd++Q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HHJCP1AAAAAcBAAAPAAAA&#10;AAAAAAEAIAAAACIAAABkcnMvZG93bnJldi54bWxQSwECFAAUAAAACACHTuJAgqmgtacBAAA8AwAA&#10;DgAAAAAAAAABACAAAAAjAQAAZHJzL2Uyb0RvYy54bWxQSwUGAAAAAAYABgBZAQAAPAUAAAAA&#10;" filled="f" stroked="f">
          <v:textbox style="mso-fit-shape-to-text:t" inset="0,0,0,0">
            <w:txbxContent>
              <w:p w14:paraId="19C11CCD" w14:textId="77777777" w:rsidR="0042708A" w:rsidRDefault="00000000">
                <w:pPr>
                  <w:tabs>
                    <w:tab w:val="center" w:pos="4153"/>
                    <w:tab w:val="right" w:pos="8306"/>
                  </w:tabs>
                  <w:snapToGrid w:val="0"/>
                  <w:ind w:left="0"/>
                  <w:rPr>
                    <w:rFonts w:ascii="仿宋_GB2312" w:eastAsia="仿宋_GB2312" w:hAnsi="Times New Roman"/>
                    <w:sz w:val="28"/>
                  </w:rPr>
                </w:pPr>
                <w:r>
                  <w:rPr>
                    <w:rFonts w:ascii="仿宋_GB2312" w:eastAsia="仿宋_GB2312" w:hAnsi="Times New Roman"/>
                    <w:sz w:val="28"/>
                  </w:rPr>
                  <w:t>—</w:t>
                </w:r>
                <w:r>
                  <w:rPr>
                    <w:rFonts w:ascii="仿宋_GB2312" w:eastAsia="仿宋_GB2312" w:hAnsi="Times New Roman"/>
                    <w:sz w:val="28"/>
                  </w:rPr>
                  <w:t xml:space="preserve"> </w:t>
                </w:r>
                <w:r>
                  <w:rPr>
                    <w:rFonts w:ascii="仿宋_GB2312" w:eastAsia="仿宋_GB2312" w:hAnsi="Times New Roman" w:hint="eastAsia"/>
                    <w:sz w:val="28"/>
                  </w:rPr>
                  <w:fldChar w:fldCharType="begin"/>
                </w:r>
                <w:r>
                  <w:instrText>PAGE</w:instrText>
                </w:r>
                <w:r>
                  <w:rPr>
                    <w:rFonts w:ascii="仿宋_GB2312" w:eastAsia="仿宋_GB2312" w:hAnsi="Times New Roman" w:hint="eastAsia"/>
                    <w:sz w:val="28"/>
                  </w:rPr>
                  <w:fldChar w:fldCharType="separate"/>
                </w:r>
                <w:r>
                  <w:t>1</w:t>
                </w:r>
                <w:r>
                  <w:rPr>
                    <w:rFonts w:ascii="仿宋_GB2312" w:eastAsia="仿宋_GB2312" w:hAnsi="Times New Roman" w:hint="eastAsia"/>
                    <w:sz w:val="28"/>
                  </w:rPr>
                  <w:fldChar w:fldCharType="end"/>
                </w:r>
                <w:r>
                  <w:rPr>
                    <w:rFonts w:ascii="仿宋_GB2312" w:eastAsia="仿宋_GB2312" w:hAnsi="Times New Roman"/>
                    <w:sz w:val="28"/>
                  </w:rPr>
                  <w:t xml:space="preserve"> </w:t>
                </w:r>
                <w:r>
                  <w:rPr>
                    <w:rFonts w:ascii="仿宋_GB2312" w:eastAsia="仿宋_GB2312" w:hAnsi="Times New Roman"/>
                    <w:sz w:val="28"/>
                  </w:rPr>
                  <w:t>—</w:t>
                </w:r>
                <w:r>
                  <w:rPr>
                    <w:rFonts w:ascii="仿宋_GB2312" w:eastAsia="仿宋_GB2312" w:hAnsi="Times New Roman"/>
                    <w:sz w:val="28"/>
                  </w:rPr>
                  <w:t xml:space="preserve"> </w:t>
                </w: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F55E7" w14:textId="77777777" w:rsidR="00FC2092" w:rsidRDefault="00FC2092">
      <w:r>
        <w:separator/>
      </w:r>
    </w:p>
  </w:footnote>
  <w:footnote w:type="continuationSeparator" w:id="0">
    <w:p w14:paraId="52CCCB98" w14:textId="77777777" w:rsidR="00FC2092" w:rsidRDefault="00FC2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45B515"/>
    <w:multiLevelType w:val="singleLevel"/>
    <w:tmpl w:val="5E45B51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200170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jNkOTIzODc1Njg2MzZlMjc0ZmQ0MzRlYjk1OGUyMzgifQ=="/>
  </w:docVars>
  <w:rsids>
    <w:rsidRoot w:val="1AF962D8"/>
    <w:rsid w:val="00001732"/>
    <w:rsid w:val="00024B17"/>
    <w:rsid w:val="000D5563"/>
    <w:rsid w:val="000F0B07"/>
    <w:rsid w:val="00133BEB"/>
    <w:rsid w:val="001A3613"/>
    <w:rsid w:val="002A7977"/>
    <w:rsid w:val="0042708A"/>
    <w:rsid w:val="004508A7"/>
    <w:rsid w:val="004A6445"/>
    <w:rsid w:val="005941AD"/>
    <w:rsid w:val="005F4380"/>
    <w:rsid w:val="00685513"/>
    <w:rsid w:val="006C576C"/>
    <w:rsid w:val="00734CDC"/>
    <w:rsid w:val="008539BA"/>
    <w:rsid w:val="008A7F8E"/>
    <w:rsid w:val="00A02A67"/>
    <w:rsid w:val="00AB6F00"/>
    <w:rsid w:val="00B22F55"/>
    <w:rsid w:val="00BC30FB"/>
    <w:rsid w:val="00CE3DAA"/>
    <w:rsid w:val="00CF041A"/>
    <w:rsid w:val="00D002C5"/>
    <w:rsid w:val="00DA1FFD"/>
    <w:rsid w:val="00FC2092"/>
    <w:rsid w:val="15BF01E2"/>
    <w:rsid w:val="180E1BDB"/>
    <w:rsid w:val="1AF962D8"/>
    <w:rsid w:val="1CB13CBE"/>
    <w:rsid w:val="1EAB4128"/>
    <w:rsid w:val="265E2CFF"/>
    <w:rsid w:val="29F03D5F"/>
    <w:rsid w:val="2E7729B2"/>
    <w:rsid w:val="2FAA77CD"/>
    <w:rsid w:val="40092631"/>
    <w:rsid w:val="455E59EB"/>
    <w:rsid w:val="47B41083"/>
    <w:rsid w:val="52D46A51"/>
    <w:rsid w:val="6E7A6182"/>
    <w:rsid w:val="7783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F08AB0"/>
  <w15:docId w15:val="{52798E20-4CD0-44F0-A86C-AAD73BACC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ind w:left="5632"/>
    </w:pPr>
    <w:rPr>
      <w:rFonts w:ascii="宋体" w:eastAsia="Times New Roman" w:hAnsi="宋体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637</Characters>
  <Application>Microsoft Office Word</Application>
  <DocSecurity>0</DocSecurity>
  <Lines>5</Lines>
  <Paragraphs>1</Paragraphs>
  <ScaleCrop>false</ScaleCrop>
  <Company>china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Yuting Zhong</cp:lastModifiedBy>
  <cp:revision>11</cp:revision>
  <cp:lastPrinted>2019-09-03T06:19:00Z</cp:lastPrinted>
  <dcterms:created xsi:type="dcterms:W3CDTF">2019-06-18T02:31:00Z</dcterms:created>
  <dcterms:modified xsi:type="dcterms:W3CDTF">2024-10-09T02:34:00Z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B8A3C592B54C4C8AABAF781B71282A7E</vt:lpwstr>
  </property>
</Properties>
</file>